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физической культуре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9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Устное собеседование на тему прыжки в высоту</w:t>
            </w:r>
            <w:r w:rsidDel="00000000" w:rsidR="00000000" w:rsidRPr="00000000">
              <w:rPr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«прыжки в высоту»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3 четверти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Устное собеседование на тему баскетбол</w:t>
            </w:r>
            <w:r w:rsidDel="00000000" w:rsidR="00000000" w:rsidRPr="00000000">
              <w:rPr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«Баскетбол»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3 четверти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Зачёты</w:t>
            </w:r>
            <w:r w:rsidDel="00000000" w:rsidR="00000000" w:rsidRPr="00000000">
              <w:rPr>
                <w:rtl w:val="0"/>
              </w:rPr>
              <w:t xml:space="preserve"> по физической культуре для основной группы здоровья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в спортивном зале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3 четверти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bFLkBXMoHRxsk7dKCrRPR7yJQ==">CgMxLjAyCGguZ2pkZ3hzMgloLjMwajB6bGw4AHIhMXpZa2JaR1AwaVB4R25leXdld1hiMms3U1R6RlV0ZURJ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2024-03-06T12:30:00Z</dcterms:created>
</cp:coreProperties>
</file>