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7"/>
        <w:jc w:val="center"/>
        <w:rPr/>
      </w:pPr>
      <w:r w:rsidDel="00000000" w:rsidR="00000000" w:rsidRPr="00000000">
        <w:rPr>
          <w:b w:val="1"/>
          <w:rtl w:val="0"/>
        </w:rPr>
        <w:t xml:space="preserve">Промежуточная аттестация по английскому языку за 1 полугодие 7 класса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7" w:lineRule="auto"/>
        <w:ind w:left="60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5" w:right="-6.259842519683616" w:firstLine="3699"/>
        <w:jc w:val="left"/>
        <w:rPr/>
      </w:pPr>
      <w:r w:rsidDel="00000000" w:rsidR="00000000" w:rsidRPr="00000000">
        <w:rPr>
          <w:b w:val="1"/>
          <w:rtl w:val="0"/>
        </w:rPr>
        <w:t xml:space="preserve">Спецификация работы </w:t>
        <w:br w:type="textWrapping"/>
        <w:t xml:space="preserve">Характеристика структуры и содержания контрольно-измерительных материалов:</w:t>
        <w:br w:type="textWrapping"/>
        <w:t xml:space="preserve"> </w:t>
      </w:r>
      <w:r w:rsidDel="00000000" w:rsidR="00000000" w:rsidRPr="00000000">
        <w:rPr>
          <w:rtl w:val="0"/>
        </w:rPr>
        <w:t xml:space="preserve">КИМ состоит из двух частей: </w:t>
      </w:r>
    </w:p>
    <w:p w:rsidR="00000000" w:rsidDel="00000000" w:rsidP="00000000" w:rsidRDefault="00000000" w:rsidRPr="00000000" w14:paraId="00000004">
      <w:pPr>
        <w:ind w:left="-5" w:right="0" w:firstLine="0"/>
        <w:rPr/>
      </w:pPr>
      <w:r w:rsidDel="00000000" w:rsidR="00000000" w:rsidRPr="00000000">
        <w:rPr>
          <w:rtl w:val="0"/>
        </w:rPr>
        <w:t xml:space="preserve">письменной (разделы 1–5, включающие задания по аудированию, чтению, задания на контроль лексико-грамматических навыков учеников и знания речевого этикета); устной (раздел 6, содержащий задания по говорению). </w:t>
      </w:r>
    </w:p>
    <w:p w:rsidR="00000000" w:rsidDel="00000000" w:rsidP="00000000" w:rsidRDefault="00000000" w:rsidRPr="00000000" w14:paraId="00000005">
      <w:pPr>
        <w:spacing w:after="63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16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1.Назначение КИМ – </w:t>
      </w:r>
      <w:r w:rsidDel="00000000" w:rsidR="00000000" w:rsidRPr="00000000">
        <w:rPr>
          <w:rtl w:val="0"/>
        </w:rPr>
        <w:t xml:space="preserve">оценить уровень усвоения учащимися материала тем №1-5 </w:t>
      </w:r>
    </w:p>
    <w:p w:rsidR="00000000" w:rsidDel="00000000" w:rsidP="00000000" w:rsidRDefault="00000000" w:rsidRPr="00000000" w14:paraId="00000007">
      <w:pPr>
        <w:spacing w:after="71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14" w:lineRule="auto"/>
        <w:ind w:left="240" w:right="0" w:hanging="240"/>
        <w:jc w:val="left"/>
        <w:rPr/>
      </w:pPr>
      <w:r w:rsidDel="00000000" w:rsidR="00000000" w:rsidRPr="00000000">
        <w:rPr>
          <w:b w:val="1"/>
          <w:rtl w:val="0"/>
        </w:rPr>
        <w:t xml:space="preserve">Документы, определяющие содержание диагностической работы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-5" w:right="0" w:firstLine="0"/>
        <w:rPr/>
      </w:pPr>
      <w:r w:rsidDel="00000000" w:rsidR="00000000" w:rsidRPr="00000000">
        <w:rPr>
          <w:rtl w:val="0"/>
        </w:rPr>
        <w:t xml:space="preserve">Содержание теста определяется на основе Федерального государственного образовательного стандарта основного общего образования  </w:t>
      </w:r>
    </w:p>
    <w:p w:rsidR="00000000" w:rsidDel="00000000" w:rsidP="00000000" w:rsidRDefault="00000000" w:rsidRPr="00000000" w14:paraId="0000000A">
      <w:pPr>
        <w:spacing w:after="64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240" w:right="0" w:hanging="240"/>
        <w:jc w:val="left"/>
        <w:rPr/>
      </w:pPr>
      <w:r w:rsidDel="00000000" w:rsidR="00000000" w:rsidRPr="00000000">
        <w:rPr>
          <w:b w:val="1"/>
          <w:rtl w:val="0"/>
        </w:rPr>
        <w:t xml:space="preserve">Характеристика структуры КИМ.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77" w:right="0" w:firstLine="0"/>
        <w:rPr/>
      </w:pPr>
      <w:r w:rsidDel="00000000" w:rsidR="00000000" w:rsidRPr="00000000">
        <w:rPr>
          <w:rtl w:val="0"/>
        </w:rPr>
        <w:t xml:space="preserve">Работа включает 56 заданий. Распределение заданий КИМ по типам даётся в таблице 1. </w:t>
      </w:r>
    </w:p>
    <w:p w:rsidR="00000000" w:rsidDel="00000000" w:rsidP="00000000" w:rsidRDefault="00000000" w:rsidRPr="00000000" w14:paraId="0000000D">
      <w:pPr>
        <w:spacing w:after="0" w:lineRule="auto"/>
        <w:ind w:right="-11"/>
        <w:jc w:val="right"/>
        <w:rPr/>
      </w:pPr>
      <w:r w:rsidDel="00000000" w:rsidR="00000000" w:rsidRPr="00000000">
        <w:rPr>
          <w:i w:val="1"/>
          <w:rtl w:val="0"/>
        </w:rPr>
        <w:t xml:space="preserve">Таблица 1. Распределение заданий по типам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0139.999999999998" w:type="dxa"/>
        <w:jc w:val="left"/>
        <w:tblInd w:w="-108.0" w:type="dxa"/>
        <w:tblLayout w:type="fixed"/>
        <w:tblLook w:val="0400"/>
      </w:tblPr>
      <w:tblGrid>
        <w:gridCol w:w="3052"/>
        <w:gridCol w:w="1531"/>
        <w:gridCol w:w="1659"/>
        <w:gridCol w:w="1632"/>
        <w:gridCol w:w="2266"/>
        <w:tblGridChange w:id="0">
          <w:tblGrid>
            <w:gridCol w:w="3052"/>
            <w:gridCol w:w="1531"/>
            <w:gridCol w:w="1659"/>
            <w:gridCol w:w="1632"/>
            <w:gridCol w:w="2266"/>
          </w:tblGrid>
        </w:tblGridChange>
      </w:tblGrid>
      <w:tr>
        <w:trPr>
          <w:cantSplit w:val="0"/>
          <w:trHeight w:val="9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Раздел теста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Число заданий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ind w:left="9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Тип задания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Уровень сложности задания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ind w:left="1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Максимальный балл 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Раздел 1 (лексика)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Rule="auto"/>
              <w:ind w:left="11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Раздел 2 (грамматика)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Rule="auto"/>
              <w:ind w:left="11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Раздел 3 (речевой этикет)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Rule="auto"/>
              <w:ind w:left="11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Раздел 4 (чтение)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ind w:left="11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Раздел 5 (аудирование)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ind w:left="11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Раздел 6 (говорение)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Rule="auto"/>
              <w:ind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Rule="auto"/>
              <w:ind w:left="12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Итого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Rule="auto"/>
              <w:ind w:left="69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ind w:left="72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87 </w:t>
            </w:r>
          </w:p>
        </w:tc>
      </w:tr>
    </w:tbl>
    <w:p w:rsidR="00000000" w:rsidDel="00000000" w:rsidP="00000000" w:rsidRDefault="00000000" w:rsidRPr="00000000" w14:paraId="00000036">
      <w:pPr>
        <w:spacing w:after="16" w:lineRule="auto"/>
        <w:ind w:left="718" w:right="0" w:firstLine="0"/>
        <w:rPr/>
      </w:pPr>
      <w:r w:rsidDel="00000000" w:rsidR="00000000" w:rsidRPr="00000000">
        <w:rPr>
          <w:rtl w:val="0"/>
        </w:rPr>
        <w:t xml:space="preserve">КО – задания с кратким ответом, РО – задания с развернутым ответом </w:t>
      </w:r>
    </w:p>
    <w:p w:rsidR="00000000" w:rsidDel="00000000" w:rsidP="00000000" w:rsidRDefault="00000000" w:rsidRPr="00000000" w14:paraId="00000037">
      <w:pPr>
        <w:spacing w:after="72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="319" w:lineRule="auto"/>
        <w:ind w:left="240" w:right="0" w:hanging="240"/>
        <w:jc w:val="left"/>
        <w:rPr/>
      </w:pPr>
      <w:r w:rsidDel="00000000" w:rsidR="00000000" w:rsidRPr="00000000">
        <w:rPr>
          <w:b w:val="1"/>
          <w:rtl w:val="0"/>
        </w:rPr>
        <w:t xml:space="preserve">Жанрово-стилистическая принадлежность текстов, используемых в разделе 5 (задания по аудированию) и разделе 4 (задания по чтению)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5" w:right="0" w:firstLine="0"/>
        <w:rPr/>
      </w:pPr>
      <w:r w:rsidDel="00000000" w:rsidR="00000000" w:rsidRPr="00000000">
        <w:rPr>
          <w:rtl w:val="0"/>
        </w:rPr>
        <w:t xml:space="preserve">В разделе 5 (задания по аудированию) используются высказывания собеседников в распространенных стандартных ситуациях повседневного общения по темам 1-5 учебника. </w:t>
      </w:r>
    </w:p>
    <w:p w:rsidR="00000000" w:rsidDel="00000000" w:rsidP="00000000" w:rsidRDefault="00000000" w:rsidRPr="00000000" w14:paraId="0000003A">
      <w:pPr>
        <w:spacing w:after="16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Длительность звучания текста для аудирования – 1,5–2 минуты. </w:t>
      </w:r>
    </w:p>
    <w:p w:rsidR="00000000" w:rsidDel="00000000" w:rsidP="00000000" w:rsidRDefault="00000000" w:rsidRPr="00000000" w14:paraId="0000003B">
      <w:pPr>
        <w:ind w:left="-5" w:right="0" w:firstLine="0"/>
        <w:rPr/>
      </w:pPr>
      <w:r w:rsidDel="00000000" w:rsidR="00000000" w:rsidRPr="00000000">
        <w:rPr>
          <w:rtl w:val="0"/>
        </w:rPr>
        <w:t xml:space="preserve">В аудиозаписи все тексты звучат дважды. Тексты для аудирования звучат в исполнении носителей языка. В разделе 4 (задания по чтению) используются художественные тексты. </w:t>
      </w:r>
    </w:p>
    <w:p w:rsidR="00000000" w:rsidDel="00000000" w:rsidP="00000000" w:rsidRDefault="00000000" w:rsidRPr="00000000" w14:paraId="0000003C">
      <w:pPr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19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Объем текстов для чтения – 100-150 слов. </w:t>
      </w:r>
    </w:p>
    <w:p w:rsidR="00000000" w:rsidDel="00000000" w:rsidP="00000000" w:rsidRDefault="00000000" w:rsidRPr="00000000" w14:paraId="0000003E">
      <w:pPr>
        <w:spacing w:after="34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Языковая сложность текстов для аудирования и чтения соответствует базовому уровню сложности теста. Тематическое содержание текстов для аудирования и чтения определяется предметным содержанием речи, представленном в темах 1-5 учебника. </w:t>
      </w:r>
    </w:p>
    <w:p w:rsidR="00000000" w:rsidDel="00000000" w:rsidP="00000000" w:rsidRDefault="00000000" w:rsidRPr="00000000" w14:paraId="0000003F">
      <w:pPr>
        <w:spacing w:after="19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0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240" w:right="0" w:hanging="240"/>
        <w:jc w:val="left"/>
        <w:rPr/>
      </w:pPr>
      <w:r w:rsidDel="00000000" w:rsidR="00000000" w:rsidRPr="00000000">
        <w:rPr>
          <w:b w:val="1"/>
          <w:rtl w:val="0"/>
        </w:rPr>
        <w:t xml:space="preserve">Распределение заданий КИМ по содержанию, проверяемым умениям и способам деятельности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5" w:right="0" w:firstLine="0"/>
        <w:rPr/>
      </w:pPr>
      <w:r w:rsidDel="00000000" w:rsidR="00000000" w:rsidRPr="00000000">
        <w:rPr>
          <w:rtl w:val="0"/>
        </w:rPr>
        <w:t xml:space="preserve">В тесте проверяется иноязычная коммуникативная компетенция учащихся 7 класса. Тест нацелен на проверку речевых умений выпускников в четырех видах речевой деятельности (аудировании, чтении, письме, говорении), а также некоторых языковых навыков. В частности, в экзаменационной работе проверяются: </w:t>
      </w:r>
    </w:p>
    <w:p w:rsidR="00000000" w:rsidDel="00000000" w:rsidP="00000000" w:rsidRDefault="00000000" w:rsidRPr="00000000" w14:paraId="00000043">
      <w:pPr>
        <w:numPr>
          <w:ilvl w:val="2"/>
          <w:numId w:val="3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умение понимать на слух основное содержание прослушанного текста и умение понимать в прослушанном тексте запрашиваемую информацию; </w:t>
      </w:r>
    </w:p>
    <w:p w:rsidR="00000000" w:rsidDel="00000000" w:rsidP="00000000" w:rsidRDefault="00000000" w:rsidRPr="00000000" w14:paraId="00000044">
      <w:pPr>
        <w:numPr>
          <w:ilvl w:val="2"/>
          <w:numId w:val="3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умение читать текст с пониманием основного содержания и умение понимать в прочитанном тексте запрашиваемую информацию; </w:t>
      </w:r>
    </w:p>
    <w:p w:rsidR="00000000" w:rsidDel="00000000" w:rsidP="00000000" w:rsidRDefault="00000000" w:rsidRPr="00000000" w14:paraId="00000045">
      <w:pPr>
        <w:numPr>
          <w:ilvl w:val="2"/>
          <w:numId w:val="3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навыки использования языковых единиц в коммуникативно-значимом контексте;  </w:t>
      </w:r>
    </w:p>
    <w:p w:rsidR="00000000" w:rsidDel="00000000" w:rsidP="00000000" w:rsidRDefault="00000000" w:rsidRPr="00000000" w14:paraId="00000046">
      <w:pPr>
        <w:numPr>
          <w:ilvl w:val="2"/>
          <w:numId w:val="3"/>
        </w:numPr>
        <w:spacing w:after="0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умение устного иноязычного общения в предлагаемых коммуникативных ситуациях. </w:t>
      </w:r>
    </w:p>
    <w:p w:rsidR="00000000" w:rsidDel="00000000" w:rsidP="00000000" w:rsidRDefault="00000000" w:rsidRPr="00000000" w14:paraId="00000047">
      <w:pPr>
        <w:spacing w:after="73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240" w:right="0" w:hanging="240"/>
        <w:jc w:val="left"/>
        <w:rPr/>
      </w:pPr>
      <w:r w:rsidDel="00000000" w:rsidR="00000000" w:rsidRPr="00000000">
        <w:rPr>
          <w:b w:val="1"/>
          <w:rtl w:val="0"/>
        </w:rPr>
        <w:t xml:space="preserve">Дополнительные материалы и оборудование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Перечень дополнительных материалов и оборудования утвержден приказом Рособрнадзора. </w:t>
      </w:r>
    </w:p>
    <w:p w:rsidR="00000000" w:rsidDel="00000000" w:rsidP="00000000" w:rsidRDefault="00000000" w:rsidRPr="00000000" w14:paraId="0000004A">
      <w:pPr>
        <w:ind w:left="-5" w:right="0" w:firstLine="0"/>
        <w:rPr/>
      </w:pPr>
      <w:r w:rsidDel="00000000" w:rsidR="00000000" w:rsidRPr="00000000">
        <w:rPr>
          <w:rtl w:val="0"/>
        </w:rPr>
        <w:t xml:space="preserve">Каждая аудитория для проведения письменной и устной части теста по иностранным языкам должна быть оснащена техническим средством, обеспечивающим качественное воспроизведение аудиозаписей на компакт- дисках (СD) для выполнения заданий раздела 5 </w:t>
      </w:r>
    </w:p>
    <w:p w:rsidR="00000000" w:rsidDel="00000000" w:rsidP="00000000" w:rsidRDefault="00000000" w:rsidRPr="00000000" w14:paraId="0000004B">
      <w:pPr>
        <w:spacing w:after="16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«Задания по аудированию». </w:t>
      </w:r>
    </w:p>
    <w:p w:rsidR="00000000" w:rsidDel="00000000" w:rsidP="00000000" w:rsidRDefault="00000000" w:rsidRPr="00000000" w14:paraId="0000004C">
      <w:pPr>
        <w:spacing w:after="72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240" w:right="0" w:hanging="240"/>
        <w:jc w:val="left"/>
        <w:rPr/>
      </w:pPr>
      <w:r w:rsidDel="00000000" w:rsidR="00000000" w:rsidRPr="00000000">
        <w:rPr>
          <w:b w:val="1"/>
          <w:rtl w:val="0"/>
        </w:rPr>
        <w:t xml:space="preserve">Продолжительность теста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-5" w:right="0" w:firstLine="0"/>
        <w:rPr/>
      </w:pPr>
      <w:r w:rsidDel="00000000" w:rsidR="00000000" w:rsidRPr="00000000">
        <w:rPr>
          <w:rtl w:val="0"/>
        </w:rPr>
        <w:t xml:space="preserve">Время выполнения первых 5-ти заданий составляет 40 минут. Время выполнения задания по говорения составляет 2 минуты на ученика. </w:t>
      </w:r>
    </w:p>
    <w:p w:rsidR="00000000" w:rsidDel="00000000" w:rsidP="00000000" w:rsidRDefault="00000000" w:rsidRPr="00000000" w14:paraId="0000004F">
      <w:pPr>
        <w:spacing w:after="1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240" w:right="0" w:hanging="240"/>
        <w:jc w:val="left"/>
        <w:rPr/>
      </w:pPr>
      <w:r w:rsidDel="00000000" w:rsidR="00000000" w:rsidRPr="00000000">
        <w:rPr>
          <w:b w:val="1"/>
          <w:rtl w:val="0"/>
        </w:rPr>
        <w:t xml:space="preserve">Система оценивания выполнения отдельных заданий и диагностической работы в целом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34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Каждое правильно выполненное задание 1–30 оценивается 1 баллом, задания 31-55 – 2 баллами.  Выполнение заданий в разделе 6 «говорение» оценивается по критериям (максимально 7 баллов).  </w:t>
      </w:r>
    </w:p>
    <w:p w:rsidR="00000000" w:rsidDel="00000000" w:rsidP="00000000" w:rsidRDefault="00000000" w:rsidRPr="00000000" w14:paraId="00000052">
      <w:pPr>
        <w:ind w:left="-5" w:right="0" w:firstLine="0"/>
        <w:rPr/>
      </w:pPr>
      <w:r w:rsidDel="00000000" w:rsidR="00000000" w:rsidRPr="00000000">
        <w:rPr>
          <w:rtl w:val="0"/>
        </w:rPr>
        <w:t xml:space="preserve">Уровень сложности заданий определяется сложностью языкового материала и проверяемых умений, а также типом задания. </w:t>
      </w:r>
    </w:p>
    <w:p w:rsidR="00000000" w:rsidDel="00000000" w:rsidP="00000000" w:rsidRDefault="00000000" w:rsidRPr="00000000" w14:paraId="00000053">
      <w:pPr>
        <w:spacing w:after="0" w:lineRule="auto"/>
        <w:ind w:right="-11"/>
        <w:jc w:val="right"/>
        <w:rPr/>
      </w:pPr>
      <w:r w:rsidDel="00000000" w:rsidR="00000000" w:rsidRPr="00000000">
        <w:rPr>
          <w:i w:val="1"/>
          <w:rtl w:val="0"/>
        </w:rPr>
        <w:t xml:space="preserve">Таблица 4. Таблица перевода баллов в отметки по пятибалльной шкале </w:t>
      </w:r>
      <w:r w:rsidDel="00000000" w:rsidR="00000000" w:rsidRPr="00000000">
        <w:rPr>
          <w:rtl w:val="0"/>
        </w:rPr>
      </w:r>
    </w:p>
    <w:tbl>
      <w:tblPr>
        <w:tblStyle w:val="Table2"/>
        <w:tblW w:w="10003.0" w:type="dxa"/>
        <w:jc w:val="left"/>
        <w:tblInd w:w="-41.0" w:type="dxa"/>
        <w:tblLayout w:type="fixed"/>
        <w:tblLook w:val="0400"/>
      </w:tblPr>
      <w:tblGrid>
        <w:gridCol w:w="4007"/>
        <w:gridCol w:w="1500"/>
        <w:gridCol w:w="1500"/>
        <w:gridCol w:w="1501"/>
        <w:gridCol w:w="1495"/>
        <w:tblGridChange w:id="0">
          <w:tblGrid>
            <w:gridCol w:w="4007"/>
            <w:gridCol w:w="1500"/>
            <w:gridCol w:w="1500"/>
            <w:gridCol w:w="1501"/>
            <w:gridCol w:w="1495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spacing w:after="0" w:lineRule="auto"/>
              <w:ind w:left="71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Отметка по пятибалльной шкале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spacing w:after="0" w:lineRule="auto"/>
              <w:ind w:left="77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«2»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spacing w:after="0" w:lineRule="auto"/>
              <w:ind w:left="77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«3»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spacing w:after="0" w:lineRule="auto"/>
              <w:ind w:left="76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«4»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spacing w:after="0" w:lineRule="auto"/>
              <w:ind w:left="77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«5»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Баллы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0" w:lineRule="auto"/>
              <w:ind w:left="7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0–34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after="0" w:lineRule="auto"/>
              <w:ind w:left="75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35-54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0" w:lineRule="auto"/>
              <w:ind w:left="74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55-72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ind w:left="74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73-87 </w:t>
            </w:r>
          </w:p>
        </w:tc>
      </w:tr>
    </w:tbl>
    <w:p w:rsidR="00000000" w:rsidDel="00000000" w:rsidP="00000000" w:rsidRDefault="00000000" w:rsidRPr="00000000" w14:paraId="0000005E">
      <w:pPr>
        <w:spacing w:after="71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0" w:lineRule="auto"/>
        <w:ind w:right="5"/>
        <w:jc w:val="center"/>
        <w:rPr/>
      </w:pPr>
      <w:r w:rsidDel="00000000" w:rsidR="00000000" w:rsidRPr="00000000">
        <w:rPr>
          <w:b w:val="1"/>
          <w:rtl w:val="0"/>
        </w:rPr>
        <w:t xml:space="preserve">Кодификатор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планируемых умений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10034.0" w:type="dxa"/>
        <w:jc w:val="left"/>
        <w:tblInd w:w="-108.0" w:type="dxa"/>
        <w:tblLayout w:type="fixed"/>
        <w:tblLook w:val="0400"/>
      </w:tblPr>
      <w:tblGrid>
        <w:gridCol w:w="1556"/>
        <w:gridCol w:w="8478"/>
        <w:tblGridChange w:id="0">
          <w:tblGrid>
            <w:gridCol w:w="1556"/>
            <w:gridCol w:w="8478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задания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Rule="auto"/>
              <w:ind w:left="0" w:right="2943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Описание элементов содержания, проверяемых в ходе теста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9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A, B, C, 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spacing w:after="19" w:line="315" w:lineRule="auto"/>
              <w:ind w:left="720" w:right="59" w:hanging="360"/>
              <w:rPr/>
            </w:pPr>
            <w:r w:rsidDel="00000000" w:rsidR="00000000" w:rsidRPr="00000000">
              <w:rPr>
                <w:rtl w:val="0"/>
              </w:rPr>
              <w:t xml:space="preserve">узнавать в письменном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spacing w:after="0" w:lineRule="auto"/>
              <w:ind w:left="720" w:right="59" w:hanging="360"/>
              <w:rPr/>
            </w:pPr>
            <w:r w:rsidDel="00000000" w:rsidR="00000000" w:rsidRPr="00000000">
              <w:rPr>
                <w:rtl w:val="0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1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84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основной школы в соответствии с решаемой коммуникативной задачей; 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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соблюдать существующие в английском языке нормы лексической сочетаемости; </w:t>
            </w:r>
          </w:p>
        </w:tc>
      </w:tr>
      <w:tr>
        <w:trPr>
          <w:cantSplit w:val="0"/>
          <w:trHeight w:val="7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E, 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after="55" w:line="284" w:lineRule="auto"/>
              <w:ind w:left="720" w:right="59" w:hanging="360"/>
              <w:rPr/>
            </w:pPr>
            <w:r w:rsidDel="00000000" w:rsidR="00000000" w:rsidRPr="00000000">
              <w:rPr>
                <w:rtl w:val="0"/>
              </w:rPr>
      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after="42" w:line="295" w:lineRule="auto"/>
              <w:ind w:left="720" w:right="59" w:hanging="360"/>
              <w:rPr/>
            </w:pPr>
            <w:r w:rsidDel="00000000" w:rsidR="00000000" w:rsidRPr="00000000">
              <w:rPr>
                <w:rtl w:val="0"/>
              </w:rPr>
      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spacing w:after="50" w:line="288" w:lineRule="auto"/>
              <w:ind w:left="720" w:right="59" w:hanging="360"/>
              <w:rPr/>
            </w:pPr>
            <w:r w:rsidDel="00000000" w:rsidR="00000000" w:rsidRPr="00000000">
              <w:rPr>
                <w:rtl w:val="0"/>
              </w:rPr>
      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after="46" w:line="291.99999999999994" w:lineRule="auto"/>
              <w:ind w:left="720" w:right="59" w:hanging="360"/>
              <w:rPr/>
            </w:pPr>
            <w:r w:rsidDel="00000000" w:rsidR="00000000" w:rsidRPr="00000000">
              <w:rPr>
                <w:rtl w:val="0"/>
              </w:rPr>
              <w:t xml:space="preserve"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after="66" w:line="275" w:lineRule="auto"/>
              <w:ind w:left="720" w:right="59" w:hanging="360"/>
              <w:rPr/>
            </w:pPr>
            <w:r w:rsidDel="00000000" w:rsidR="00000000" w:rsidRPr="00000000">
              <w:rPr>
                <w:rtl w:val="0"/>
              </w:rPr>
              <w:t xml:space="preserve">распознавать и употреблять в речи различные грамматические средства для выражения будущего времени: Simple Future, to be going to, Present Continuous;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after="66" w:line="274" w:lineRule="auto"/>
              <w:ind w:left="720" w:right="59" w:hanging="360"/>
              <w:rPr/>
            </w:pPr>
            <w:r w:rsidDel="00000000" w:rsidR="00000000" w:rsidRPr="00000000">
              <w:rPr>
                <w:rtl w:val="0"/>
              </w:rPr>
              <w:t xml:space="preserve">распознавать и употреблять в речи модальные глаголы и их эквиваленты (may, can, could, be able to, must, have to, should);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after="0" w:lineRule="auto"/>
              <w:ind w:left="720" w:right="59" w:hanging="360"/>
              <w:rPr/>
            </w:pPr>
            <w:r w:rsidDel="00000000" w:rsidR="00000000" w:rsidRPr="00000000">
              <w:rPr>
                <w:rtl w:val="0"/>
              </w:rPr>
              <w:t xml:space="preserve">распознавать </w:t>
              <w:tab/>
              <w:t xml:space="preserve">и </w:t>
              <w:tab/>
              <w:t xml:space="preserve">употреблять </w:t>
              <w:tab/>
              <w:t xml:space="preserve">в </w:t>
              <w:tab/>
              <w:t xml:space="preserve">речи </w:t>
              <w:tab/>
              <w:t xml:space="preserve">предлоги </w:t>
              <w:tab/>
              <w:t xml:space="preserve">места, </w:t>
              <w:tab/>
              <w:t xml:space="preserve">времени, направления;  </w:t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употребление в устной и письменной речи в ситуациях формального и неформального общения основных норм речевого этикета, принятых в странах изучаемого языка; </w:t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Выборочное понимание нужной информации, представленной в явном и в неявном виде, в несложных аутентичных текстах, содержащих отдельные неизученные языковые явления. </w:t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ind w:left="0" w:right="16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Выборочное понимание необходимой/запрашиваемой информации в несложных звучащих аутентичных текстах </w:t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ind w:left="0" w:right="62" w:firstLine="0"/>
              <w:rPr/>
            </w:pPr>
            <w:r w:rsidDel="00000000" w:rsidR="00000000" w:rsidRPr="00000000">
              <w:rPr>
                <w:rtl w:val="0"/>
              </w:rPr>
              <w:t xml:space="preserve">Говорение: построение связного монологического высказывания с опорой на зрительную наглядность и/или вербальные опоры (ключевые слова, план, вопросы) в рамках освоенной тематики; </w:t>
            </w:r>
          </w:p>
        </w:tc>
      </w:tr>
    </w:tbl>
    <w:p w:rsidR="00000000" w:rsidDel="00000000" w:rsidP="00000000" w:rsidRDefault="00000000" w:rsidRPr="00000000" w14:paraId="00000078">
      <w:pPr>
        <w:spacing w:after="73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ind w:left="-5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Предметное содержание речи (во всех разделах работы)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907.0" w:type="dxa"/>
        <w:jc w:val="left"/>
        <w:tblLayout w:type="fixed"/>
        <w:tblLook w:val="0400"/>
      </w:tblPr>
      <w:tblGrid>
        <w:gridCol w:w="9907"/>
        <w:tblGridChange w:id="0">
          <w:tblGrid>
            <w:gridCol w:w="9907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0.0" w:type="dxa"/>
              <w:left w:w="100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3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 1. Взаимоотношения в семье и с друзьями. Семейные праздники. Обязанности по дому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ind w:left="135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0.0" w:type="dxa"/>
              <w:left w:w="100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3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 2. Внешность и характер человека (литературного персонажа)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135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0.0" w:type="dxa"/>
              <w:left w:w="100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3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 3. Досуг и увлечения (хобби) современного подростка (чтение, кино, театр, музей, спорт, музыка)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135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0.0" w:type="dxa"/>
              <w:left w:w="100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13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 4. Здоровый образ жизни: режим труда и отдыха, фитнес, сбалансированное питание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135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0.0" w:type="dxa"/>
              <w:left w:w="100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13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 5. Покупки: одежда, обувь и продукты питания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135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Rule="auto"/>
        <w:ind w:left="60" w:right="0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3" w:lineRule="auto"/>
        <w:ind w:right="2757"/>
        <w:jc w:val="right"/>
        <w:rPr/>
      </w:pPr>
      <w:r w:rsidDel="00000000" w:rsidR="00000000" w:rsidRPr="00000000">
        <w:rPr>
          <w:b w:val="1"/>
          <w:rtl w:val="0"/>
        </w:rPr>
        <w:t xml:space="preserve">Контрольно-измерительные материалы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6" w:lineRule="auto"/>
        <w:ind w:left="142" w:right="0" w:firstLine="0"/>
        <w:jc w:val="left"/>
        <w:rPr/>
      </w:pPr>
      <w:r w:rsidDel="00000000" w:rsidR="00000000" w:rsidRPr="00000000">
        <w:rPr/>
        <w:drawing>
          <wp:inline distB="0" distT="0" distL="0" distR="0">
            <wp:extent cx="6120131" cy="8385175"/>
            <wp:effectExtent b="0" l="0" r="0" t="0"/>
            <wp:docPr id="94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1" cy="8385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after="6" w:lineRule="auto"/>
        <w:ind w:left="142" w:right="0" w:firstLine="0"/>
        <w:jc w:val="left"/>
        <w:rPr/>
      </w:pPr>
      <w:r w:rsidDel="00000000" w:rsidR="00000000" w:rsidRPr="00000000">
        <w:rPr/>
        <w:drawing>
          <wp:inline distB="0" distT="0" distL="0" distR="0">
            <wp:extent cx="6120131" cy="8385175"/>
            <wp:effectExtent b="0" l="0" r="0" t="0"/>
            <wp:docPr id="94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1" cy="8385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1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C">
      <w:pPr>
        <w:spacing w:after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6" w:lineRule="auto"/>
        <w:ind w:left="142" w:right="0" w:firstLine="0"/>
        <w:jc w:val="left"/>
        <w:rPr/>
      </w:pPr>
      <w:r w:rsidDel="00000000" w:rsidR="00000000" w:rsidRPr="00000000">
        <w:rPr/>
        <w:drawing>
          <wp:inline distB="0" distT="0" distL="0" distR="0">
            <wp:extent cx="6120131" cy="8385175"/>
            <wp:effectExtent b="0" l="0" r="0" t="0"/>
            <wp:docPr id="94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1" cy="8385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after="1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after="6" w:lineRule="auto"/>
        <w:ind w:left="142" w:right="0" w:firstLine="0"/>
        <w:jc w:val="left"/>
        <w:rPr/>
      </w:pPr>
      <w:r w:rsidDel="00000000" w:rsidR="00000000" w:rsidRPr="00000000">
        <w:rPr/>
        <w:drawing>
          <wp:inline distB="0" distT="0" distL="0" distR="0">
            <wp:extent cx="6120131" cy="8385175"/>
            <wp:effectExtent b="0" l="0" r="0" t="0"/>
            <wp:docPr id="94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1" cy="8385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6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93">
      <w:pPr>
        <w:spacing w:after="24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after="3" w:lineRule="auto"/>
        <w:ind w:right="4488"/>
        <w:jc w:val="right"/>
        <w:rPr/>
      </w:pPr>
      <w:r w:rsidDel="00000000" w:rsidR="00000000" w:rsidRPr="00000000">
        <w:rPr>
          <w:b w:val="1"/>
          <w:rtl w:val="0"/>
        </w:rPr>
        <w:t xml:space="preserve">Speaking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57" w:lineRule="auto"/>
        <w:ind w:left="60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84" w:lineRule="auto"/>
        <w:ind w:left="0" w:right="537" w:firstLine="0"/>
        <w:jc w:val="left"/>
        <w:rPr/>
      </w:pPr>
      <w:r w:rsidDel="00000000" w:rsidR="00000000" w:rsidRPr="00000000">
        <w:rPr>
          <w:rtl w:val="0"/>
        </w:rPr>
        <w:t xml:space="preserve">Выберите фотографию и опишите её. (7-8 фраз) У вас есть полторы минуты на подготовку. План ответа поможет вам: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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Who is in the photo </w:t>
      </w:r>
    </w:p>
    <w:p w:rsidR="00000000" w:rsidDel="00000000" w:rsidP="00000000" w:rsidRDefault="00000000" w:rsidRPr="00000000" w14:paraId="00000097">
      <w:pPr>
        <w:numPr>
          <w:ilvl w:val="2"/>
          <w:numId w:val="2"/>
        </w:numPr>
        <w:spacing w:after="0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Where  they are </w:t>
      </w:r>
    </w:p>
    <w:p w:rsidR="00000000" w:rsidDel="00000000" w:rsidP="00000000" w:rsidRDefault="00000000" w:rsidRPr="00000000" w14:paraId="00000098">
      <w:pPr>
        <w:numPr>
          <w:ilvl w:val="2"/>
          <w:numId w:val="2"/>
        </w:numPr>
        <w:spacing w:after="0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What he/she/they look(s) like </w:t>
      </w:r>
    </w:p>
    <w:p w:rsidR="00000000" w:rsidDel="00000000" w:rsidP="00000000" w:rsidRDefault="00000000" w:rsidRPr="00000000" w14:paraId="00000099">
      <w:pPr>
        <w:numPr>
          <w:ilvl w:val="2"/>
          <w:numId w:val="2"/>
        </w:numPr>
        <w:spacing w:after="0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What he/she/they is/are wearing </w:t>
      </w:r>
    </w:p>
    <w:p w:rsidR="00000000" w:rsidDel="00000000" w:rsidP="00000000" w:rsidRDefault="00000000" w:rsidRPr="00000000" w14:paraId="0000009A">
      <w:pPr>
        <w:numPr>
          <w:ilvl w:val="2"/>
          <w:numId w:val="2"/>
        </w:numPr>
        <w:spacing w:after="0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What   he/she/they is/are doing </w:t>
      </w:r>
    </w:p>
    <w:p w:rsidR="00000000" w:rsidDel="00000000" w:rsidP="00000000" w:rsidRDefault="00000000" w:rsidRPr="00000000" w14:paraId="0000009B">
      <w:pPr>
        <w:numPr>
          <w:ilvl w:val="2"/>
          <w:numId w:val="2"/>
        </w:numPr>
        <w:spacing w:after="0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Whether you like the picture or not, why </w:t>
      </w:r>
    </w:p>
    <w:p w:rsidR="00000000" w:rsidDel="00000000" w:rsidP="00000000" w:rsidRDefault="00000000" w:rsidRPr="00000000" w14:paraId="0000009C">
      <w:pPr>
        <w:spacing w:after="11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D">
      <w:pPr>
        <w:spacing w:after="0" w:lineRule="auto"/>
        <w:ind w:left="0" w:right="181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2889250" cy="2051050"/>
            <wp:effectExtent b="0" l="0" r="0" t="0"/>
            <wp:docPr id="94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05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3343402</wp:posOffset>
            </wp:positionH>
            <wp:positionV relativeFrom="paragraph">
              <wp:posOffset>1292479</wp:posOffset>
            </wp:positionV>
            <wp:extent cx="2843530" cy="1887220"/>
            <wp:effectExtent b="0" l="0" r="0" t="0"/>
            <wp:wrapSquare wrapText="bothSides" distB="0" distT="0" distL="114300" distR="114300"/>
            <wp:docPr id="94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887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E">
      <w:pPr>
        <w:spacing w:after="16" w:lineRule="auto"/>
        <w:ind w:left="2631" w:right="181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16" w:lineRule="auto"/>
        <w:ind w:left="2631" w:right="181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9" w:lineRule="auto"/>
        <w:ind w:left="2631" w:right="181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6" w:lineRule="auto"/>
        <w:ind w:left="2631" w:right="181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17" w:lineRule="auto"/>
        <w:ind w:left="2631" w:right="181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16" w:lineRule="auto"/>
        <w:ind w:left="2631" w:right="181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9" w:lineRule="auto"/>
        <w:ind w:left="60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12" w:lineRule="auto"/>
        <w:ind w:left="60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1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7">
      <w:pPr>
        <w:spacing w:after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13" w:type="default"/>
      <w:headerReference r:id="rId14" w:type="first"/>
      <w:headerReference r:id="rId15" w:type="even"/>
      <w:pgSz w:h="16838" w:w="11906" w:orient="portrait"/>
      <w:pgMar w:bottom="1235" w:top="1277" w:left="1133" w:right="850" w:header="57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tabs>
        <w:tab w:val="center" w:leader="none" w:pos="4963"/>
        <w:tab w:val="right" w:leader="none" w:pos="9924"/>
      </w:tabs>
      <w:spacing w:after="0" w:lineRule="auto"/>
      <w:ind w:left="0" w:right="0" w:firstLine="0"/>
      <w:jc w:val="left"/>
      <w:rPr/>
    </w:pPr>
    <w:r w:rsidDel="00000000" w:rsidR="00000000" w:rsidRPr="00000000">
      <w:rPr>
        <w:b w:val="1"/>
        <w:color w:val="c00000"/>
        <w:rtl w:val="0"/>
      </w:rPr>
      <w:t xml:space="preserve">ГБОУ Школа №268 </w:t>
      <w:tab/>
      <w:t xml:space="preserve">Английский язык </w:t>
      <w:tab/>
      <w:t xml:space="preserve">7 класс 1 п/г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tabs>
        <w:tab w:val="center" w:leader="none" w:pos="4963"/>
        <w:tab w:val="right" w:leader="none" w:pos="9924"/>
      </w:tabs>
      <w:spacing w:after="0" w:lineRule="auto"/>
      <w:ind w:left="0" w:right="0" w:firstLine="0"/>
      <w:jc w:val="left"/>
      <w:rPr/>
    </w:pPr>
    <w:r w:rsidDel="00000000" w:rsidR="00000000" w:rsidRPr="00000000">
      <w:rPr>
        <w:b w:val="1"/>
        <w:color w:val="c00000"/>
        <w:rtl w:val="0"/>
      </w:rPr>
      <w:t xml:space="preserve">ГБОУ Школа №268 </w:t>
      <w:tab/>
      <w:t xml:space="preserve">Английский язык </w:t>
      <w:tab/>
      <w:t xml:space="preserve">7 класс 1 п/г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tabs>
        <w:tab w:val="center" w:leader="none" w:pos="4963"/>
        <w:tab w:val="right" w:leader="none" w:pos="9924"/>
      </w:tabs>
      <w:spacing w:after="0" w:lineRule="auto"/>
      <w:ind w:left="0" w:right="0" w:firstLine="0"/>
      <w:jc w:val="left"/>
      <w:rPr/>
    </w:pPr>
    <w:r w:rsidDel="00000000" w:rsidR="00000000" w:rsidRPr="00000000">
      <w:rPr>
        <w:b w:val="1"/>
        <w:color w:val="c00000"/>
        <w:rtl w:val="0"/>
      </w:rPr>
      <w:t xml:space="preserve">ГБОУ Школа №268 </w:t>
      <w:tab/>
      <w:t xml:space="preserve">Английский язык </w:t>
      <w:tab/>
      <w:t xml:space="preserve">7 класс 1 п/г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240" w:hanging="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2880" w:hanging="28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040" w:hanging="50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540" w:hanging="5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2880" w:hanging="28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040" w:hanging="50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58" w:line="259" w:lineRule="auto"/>
        <w:ind w:left="10" w:right="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58"/>
      <w:ind w:left="10" w:right="8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4.0" w:type="dxa"/>
        <w:left w:w="41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4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5.jpg"/><Relationship Id="rId13" Type="http://schemas.openxmlformats.org/officeDocument/2006/relationships/header" Target="header1.xm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WmsPUw9y5Rz+7eP6D64Hv5UB5w==">CgMxLjAyCGguZ2pkZ3hzOAByITFOaV91bkVWNE5LLUo2c0FXX2tzQXh1ZDcxakhaSGJQSw==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2023-11-17T07:57:00Z</dcterms:created>
  <dc:creator>Учитель Школы</dc:creator>
</cp:coreProperties>
</file>